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D5E" w:rsidRDefault="00070D5E" w:rsidP="00070D5E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70D5E" w:rsidRPr="007419F1" w:rsidRDefault="007419F1" w:rsidP="007419F1">
      <w:pPr>
        <w:pStyle w:val="c2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rStyle w:val="c17"/>
          <w:b/>
          <w:bCs/>
          <w:color w:val="000000"/>
          <w:sz w:val="28"/>
          <w:szCs w:val="28"/>
        </w:rPr>
        <w:t xml:space="preserve">Консультация для родителей </w:t>
      </w:r>
      <w:r w:rsidR="00070D5E" w:rsidRPr="00070D5E">
        <w:rPr>
          <w:rStyle w:val="c17"/>
          <w:b/>
          <w:bCs/>
          <w:color w:val="000000"/>
          <w:sz w:val="28"/>
          <w:szCs w:val="28"/>
        </w:rPr>
        <w:t>«Создание эффективной предметно-развивающей среды в домашних условиях»</w:t>
      </w:r>
    </w:p>
    <w:bookmarkEnd w:id="0"/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С появлением в семье ребенка, родители стараются выделить ему личное пространство – обустраивают детскую комнату. Чем старше становится ребёнок, тем разнообразнее требуемая предметно-развивающая среда.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Для всестороннего развития ребенка в домашних условиях необходимо организовать несколько предметно-развивающих «сред»: для речевого, математического, эстетического, физического развития или же одна, но многофункциональная среда. Принципы построения каждой из таких сред: дистанции, позиции при взаимодействии; активности, самостоятельности, творчества; стабильности-динамичности; комплексирования и гибкого зон</w:t>
      </w:r>
      <w:r>
        <w:rPr>
          <w:rStyle w:val="c0"/>
          <w:color w:val="000000"/>
          <w:sz w:val="28"/>
          <w:szCs w:val="28"/>
        </w:rPr>
        <w:t xml:space="preserve">ирования; </w:t>
      </w:r>
      <w:r w:rsidRPr="00070D5E">
        <w:rPr>
          <w:rStyle w:val="c0"/>
          <w:color w:val="000000"/>
          <w:sz w:val="28"/>
          <w:szCs w:val="28"/>
        </w:rPr>
        <w:t>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 среды; открытости-закрытости; учета половых и возрастных различий детей.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В ходе ее организации особое внимание следует обратить на расположение объектов в комнате. Ее пространство надо оформить таким образом, чтобы ребенок и другие дети могли свободно перемещаться, играть с игрушками, отдыхать. Это пространство активно используется для совместной деятельности ребенка и взрослых, для проведения специальных и комплексных занятий по разностороннему развитию.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Речевая предметно-развивающая среда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Опыт подсказывает, что для таких занятий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или подвижных игр, занятий за столами. Основное пространство в игровой комнате занимает мягкое </w:t>
      </w:r>
      <w:proofErr w:type="gramStart"/>
      <w:r w:rsidRPr="00070D5E">
        <w:rPr>
          <w:rStyle w:val="c0"/>
          <w:color w:val="000000"/>
          <w:sz w:val="28"/>
          <w:szCs w:val="28"/>
        </w:rPr>
        <w:t>покрытие, на котором размещаются мягкая мебель и мягкие модули, из которых конструируются игровые уголки для создания соответствующей игровой и коммуникативной ситуации, в процессе которых происходит развитие связной и образной речи.</w:t>
      </w:r>
      <w:proofErr w:type="gramEnd"/>
      <w:r w:rsidRPr="00070D5E">
        <w:rPr>
          <w:rStyle w:val="c0"/>
          <w:color w:val="000000"/>
          <w:sz w:val="28"/>
          <w:szCs w:val="28"/>
        </w:rPr>
        <w:t xml:space="preserve"> С этими же целями содержание кукольного уголка должно соответствовать ситуациям различных сюжетно-дидактических игр, которые организует взрослый. Так, взрослый развертывает сюжетно-ролевую игру - на этом же материале проводится обучение сюжетно-дидактической игре. Сюжетно-дидактическая игра предлагается после того, как ребенок освоит </w:t>
      </w:r>
      <w:proofErr w:type="gramStart"/>
      <w:r w:rsidRPr="00070D5E">
        <w:rPr>
          <w:rStyle w:val="c0"/>
          <w:color w:val="000000"/>
          <w:sz w:val="28"/>
          <w:szCs w:val="28"/>
        </w:rPr>
        <w:t>сюжетно-ролевую</w:t>
      </w:r>
      <w:proofErr w:type="gramEnd"/>
      <w:r w:rsidRPr="00070D5E">
        <w:rPr>
          <w:rStyle w:val="c0"/>
          <w:color w:val="000000"/>
          <w:sz w:val="28"/>
          <w:szCs w:val="28"/>
        </w:rPr>
        <w:t xml:space="preserve">, а игровые действия станут для него понятными и доступными. Оборудование для сюжетно-дидактических игр может храниться в доступных для ребенка местах: на специальных стеллажах, в ящиках, коробках с характерными символическими изображениями или в прозрачных саше на стенах комнаты. </w:t>
      </w:r>
      <w:proofErr w:type="gramStart"/>
      <w:r w:rsidRPr="00070D5E">
        <w:rPr>
          <w:rStyle w:val="c0"/>
          <w:color w:val="000000"/>
          <w:sz w:val="28"/>
          <w:szCs w:val="28"/>
        </w:rPr>
        <w:t>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куклы», «Кафе» и др.</w:t>
      </w:r>
      <w:proofErr w:type="gramEnd"/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Кроме того,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Для этого используются комплекты: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игрушек </w:t>
      </w:r>
      <w:r w:rsidRPr="00070D5E">
        <w:rPr>
          <w:rStyle w:val="c4"/>
          <w:i/>
          <w:iCs/>
          <w:color w:val="000000"/>
          <w:sz w:val="28"/>
          <w:szCs w:val="28"/>
        </w:rPr>
        <w:t>(дидактические, образные, наборы игрушек)</w:t>
      </w:r>
      <w:r w:rsidRPr="00070D5E">
        <w:rPr>
          <w:rStyle w:val="c0"/>
          <w:color w:val="000000"/>
          <w:sz w:val="28"/>
          <w:szCs w:val="28"/>
        </w:rPr>
        <w:t>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70D5E">
        <w:rPr>
          <w:rStyle w:val="c0"/>
          <w:color w:val="000000"/>
          <w:sz w:val="28"/>
          <w:szCs w:val="28"/>
        </w:rPr>
        <w:lastRenderedPageBreak/>
        <w:t>- предметных картинок и открыток по основным лексическим темам </w:t>
      </w:r>
      <w:r w:rsidRPr="00070D5E">
        <w:rPr>
          <w:rStyle w:val="c4"/>
          <w:i/>
          <w:iCs/>
          <w:color w:val="000000"/>
          <w:sz w:val="28"/>
          <w:szCs w:val="28"/>
        </w:rPr>
        <w:t>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</w:t>
      </w:r>
      <w:r w:rsidRPr="00070D5E">
        <w:rPr>
          <w:rStyle w:val="c0"/>
          <w:color w:val="000000"/>
          <w:sz w:val="28"/>
          <w:szCs w:val="28"/>
        </w:rPr>
        <w:t>,</w:t>
      </w:r>
      <w:proofErr w:type="gramEnd"/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различного типа лото </w:t>
      </w:r>
      <w:r w:rsidRPr="00070D5E">
        <w:rPr>
          <w:rStyle w:val="c4"/>
          <w:i/>
          <w:iCs/>
          <w:color w:val="000000"/>
          <w:sz w:val="28"/>
          <w:szCs w:val="28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070D5E">
        <w:rPr>
          <w:rStyle w:val="c0"/>
          <w:color w:val="000000"/>
          <w:sz w:val="28"/>
          <w:szCs w:val="28"/>
        </w:rPr>
        <w:t>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альбом О. С. Соловьёвой </w:t>
      </w:r>
      <w:r w:rsidRPr="00070D5E">
        <w:rPr>
          <w:rStyle w:val="c4"/>
          <w:i/>
          <w:iCs/>
          <w:color w:val="000000"/>
          <w:sz w:val="28"/>
          <w:szCs w:val="28"/>
        </w:rPr>
        <w:t>(“Говори правильно”)</w:t>
      </w:r>
      <w:r w:rsidRPr="00070D5E">
        <w:rPr>
          <w:rStyle w:val="c0"/>
          <w:color w:val="000000"/>
          <w:sz w:val="28"/>
          <w:szCs w:val="28"/>
        </w:rPr>
        <w:t>, картины для упражнения детей в правильном звукопроизношении и т. д.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При этом взрослый должен освоить приемы, связанные с их обыгрыванием. Например, можно воспользоваться методикой Э. Ф. </w:t>
      </w:r>
      <w:proofErr w:type="spellStart"/>
      <w:r w:rsidRPr="00070D5E">
        <w:rPr>
          <w:rStyle w:val="c0"/>
          <w:color w:val="000000"/>
          <w:sz w:val="28"/>
          <w:szCs w:val="28"/>
        </w:rPr>
        <w:t>Замбицявичене</w:t>
      </w:r>
      <w:proofErr w:type="spellEnd"/>
      <w:r w:rsidRPr="00070D5E">
        <w:rPr>
          <w:rStyle w:val="c0"/>
          <w:color w:val="000000"/>
          <w:sz w:val="28"/>
          <w:szCs w:val="28"/>
        </w:rPr>
        <w:t>, которая опирается на использование принципов смысловой группировки воспринимаемого материала. Она включает 4 группы заданий: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обучение</w:t>
      </w:r>
      <w:r w:rsidRPr="00070D5E">
        <w:rPr>
          <w:rStyle w:val="c0"/>
          <w:color w:val="000000"/>
          <w:sz w:val="28"/>
          <w:szCs w:val="28"/>
        </w:rPr>
        <w:t> дифференциации существенных признаков предметов и явлений от несущественных, а также увеличение запаса знаний.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Ребенок должен выбрать правильный ответ из </w:t>
      </w:r>
      <w:proofErr w:type="gramStart"/>
      <w:r w:rsidRPr="00070D5E">
        <w:rPr>
          <w:rStyle w:val="c0"/>
          <w:color w:val="000000"/>
          <w:sz w:val="28"/>
          <w:szCs w:val="28"/>
        </w:rPr>
        <w:t>предложенных</w:t>
      </w:r>
      <w:proofErr w:type="gramEnd"/>
      <w:r w:rsidRPr="00070D5E">
        <w:rPr>
          <w:rStyle w:val="c0"/>
          <w:color w:val="000000"/>
          <w:sz w:val="28"/>
          <w:szCs w:val="28"/>
        </w:rPr>
        <w:t>, чтобы закончить фразу: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«У сапога всегда есть ...» </w:t>
      </w:r>
      <w:r w:rsidRPr="00070D5E">
        <w:rPr>
          <w:rStyle w:val="c4"/>
          <w:i/>
          <w:iCs/>
          <w:color w:val="000000"/>
          <w:sz w:val="28"/>
          <w:szCs w:val="28"/>
        </w:rPr>
        <w:t>(шнурок, пряжка, подошва, ремешки, пуговица)</w:t>
      </w:r>
      <w:r w:rsidRPr="00070D5E">
        <w:rPr>
          <w:rStyle w:val="c0"/>
          <w:color w:val="000000"/>
          <w:sz w:val="28"/>
          <w:szCs w:val="28"/>
        </w:rPr>
        <w:t>;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«В теплых краях обитает ...» </w:t>
      </w:r>
      <w:r w:rsidRPr="00070D5E">
        <w:rPr>
          <w:rStyle w:val="c4"/>
          <w:i/>
          <w:iCs/>
          <w:color w:val="000000"/>
          <w:sz w:val="28"/>
          <w:szCs w:val="28"/>
        </w:rPr>
        <w:t>(медведь, олень, волк, верблюд, тюлень)</w:t>
      </w:r>
      <w:r w:rsidRPr="00070D5E">
        <w:rPr>
          <w:rStyle w:val="c0"/>
          <w:color w:val="000000"/>
          <w:sz w:val="28"/>
          <w:szCs w:val="28"/>
        </w:rPr>
        <w:t>;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«В году ...» </w:t>
      </w:r>
      <w:r w:rsidRPr="00070D5E">
        <w:rPr>
          <w:rStyle w:val="c4"/>
          <w:i/>
          <w:iCs/>
          <w:color w:val="000000"/>
          <w:sz w:val="28"/>
          <w:szCs w:val="28"/>
        </w:rPr>
        <w:t>(24, 3, 12, 4, 7 месяцев)</w:t>
      </w:r>
      <w:r w:rsidRPr="00070D5E">
        <w:rPr>
          <w:rStyle w:val="c0"/>
          <w:color w:val="000000"/>
          <w:sz w:val="28"/>
          <w:szCs w:val="28"/>
        </w:rPr>
        <w:t> и др.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формирование</w:t>
      </w:r>
      <w:r w:rsidRPr="00070D5E">
        <w:rPr>
          <w:rStyle w:val="c0"/>
          <w:color w:val="000000"/>
          <w:sz w:val="28"/>
          <w:szCs w:val="28"/>
        </w:rPr>
        <w:t> операций обобщения и отвлечения, способности выделить существенные признаки предметов и явлений.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Требуется объединить в одну группу и назвать для нее обобщающее слово, исключив лишнее понятие: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тюльпан, лилия, фасоль, ромашка, фиалка;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река, озеро, море, мост, болото;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кукла, медвежонок, песок, мяч, лопата и др.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развитие</w:t>
      </w:r>
      <w:r w:rsidRPr="00070D5E">
        <w:rPr>
          <w:rStyle w:val="c0"/>
          <w:color w:val="000000"/>
          <w:sz w:val="28"/>
          <w:szCs w:val="28"/>
        </w:rPr>
        <w:t> способности устанавливать логические связи и отношения между понятиями.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Ребенок должен по аналогии с образцом подобрать пару к предложенному слову. Например: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огурец - овощ, георгин - ... </w:t>
      </w:r>
      <w:r w:rsidRPr="00070D5E">
        <w:rPr>
          <w:rStyle w:val="c4"/>
          <w:i/>
          <w:iCs/>
          <w:color w:val="000000"/>
          <w:sz w:val="28"/>
          <w:szCs w:val="28"/>
        </w:rPr>
        <w:t>(сорняк, роса, садик, цветок, земля)</w:t>
      </w:r>
      <w:r w:rsidRPr="00070D5E">
        <w:rPr>
          <w:rStyle w:val="c0"/>
          <w:color w:val="000000"/>
          <w:sz w:val="28"/>
          <w:szCs w:val="28"/>
        </w:rPr>
        <w:t>;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учитель - ученик, врач - ... </w:t>
      </w:r>
      <w:r w:rsidRPr="00070D5E">
        <w:rPr>
          <w:rStyle w:val="c4"/>
          <w:i/>
          <w:iCs/>
          <w:color w:val="000000"/>
          <w:sz w:val="28"/>
          <w:szCs w:val="28"/>
        </w:rPr>
        <w:t>(кочки, больные, палата, больной, термометр)</w:t>
      </w:r>
      <w:r w:rsidRPr="00070D5E">
        <w:rPr>
          <w:rStyle w:val="c0"/>
          <w:color w:val="000000"/>
          <w:sz w:val="28"/>
          <w:szCs w:val="28"/>
        </w:rPr>
        <w:t>;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огород - морковь, сад - ... </w:t>
      </w:r>
      <w:r w:rsidRPr="00070D5E">
        <w:rPr>
          <w:rStyle w:val="c4"/>
          <w:i/>
          <w:iCs/>
          <w:color w:val="000000"/>
          <w:sz w:val="28"/>
          <w:szCs w:val="28"/>
        </w:rPr>
        <w:t>(забор, яблоня, колодец, скамейка, цветы)</w:t>
      </w:r>
      <w:r w:rsidRPr="00070D5E">
        <w:rPr>
          <w:rStyle w:val="c0"/>
          <w:color w:val="000000"/>
          <w:sz w:val="28"/>
          <w:szCs w:val="28"/>
        </w:rPr>
        <w:t> и др.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8"/>
          <w:b/>
          <w:bCs/>
          <w:color w:val="000000"/>
          <w:sz w:val="28"/>
          <w:szCs w:val="28"/>
        </w:rPr>
        <w:t>формирование</w:t>
      </w:r>
      <w:r w:rsidRPr="00070D5E">
        <w:rPr>
          <w:rStyle w:val="c0"/>
          <w:color w:val="000000"/>
          <w:sz w:val="28"/>
          <w:szCs w:val="28"/>
        </w:rPr>
        <w:t> умения обобщать.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Требуется назвать обобщающее слово к каждой паре понятий. Например,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метла, лопата</w:t>
      </w:r>
      <w:proofErr w:type="gramStart"/>
      <w:r w:rsidRPr="00070D5E">
        <w:rPr>
          <w:rStyle w:val="c0"/>
          <w:color w:val="000000"/>
          <w:sz w:val="28"/>
          <w:szCs w:val="28"/>
        </w:rPr>
        <w:t xml:space="preserve"> - ...;</w:t>
      </w:r>
      <w:proofErr w:type="gramEnd"/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окунь, карась</w:t>
      </w:r>
      <w:proofErr w:type="gramStart"/>
      <w:r w:rsidRPr="00070D5E">
        <w:rPr>
          <w:rStyle w:val="c0"/>
          <w:color w:val="000000"/>
          <w:sz w:val="28"/>
          <w:szCs w:val="28"/>
        </w:rPr>
        <w:t xml:space="preserve"> - ...;</w:t>
      </w:r>
      <w:proofErr w:type="gramEnd"/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- лето, зима - ... и др.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 xml:space="preserve">Выполняя такие задания, ребенок может выкладывать карточки с ответами, </w:t>
      </w:r>
      <w:proofErr w:type="gramStart"/>
      <w:r w:rsidRPr="00070D5E">
        <w:rPr>
          <w:rStyle w:val="c0"/>
          <w:color w:val="000000"/>
          <w:sz w:val="28"/>
          <w:szCs w:val="28"/>
        </w:rPr>
        <w:t>выстраивая</w:t>
      </w:r>
      <w:proofErr w:type="gramEnd"/>
      <w:r w:rsidRPr="00070D5E">
        <w:rPr>
          <w:rStyle w:val="c0"/>
          <w:color w:val="000000"/>
          <w:sz w:val="28"/>
          <w:szCs w:val="28"/>
        </w:rPr>
        <w:t xml:space="preserve"> таким образом дорогу через лес, горы, моря, поля и т. д., что в дальнейшем можно будет обыграть с помощью мелких сюжетных игрушек и машинок. При этом можно использовать игры, направленные на формирование грамматических и синтаксических умений и навыков детей. </w:t>
      </w:r>
      <w:proofErr w:type="gramStart"/>
      <w:r w:rsidRPr="00070D5E">
        <w:rPr>
          <w:rStyle w:val="c0"/>
          <w:color w:val="000000"/>
          <w:sz w:val="28"/>
          <w:szCs w:val="28"/>
        </w:rPr>
        <w:t>Например, сюда могут входить такие известные дидактические игры, как «Кто где живет?», «Чьи следы?», «Кому что надо?», «Страны света», «Кем я буду?», «У кого какая профессия?», «Домики сказки», «Сказки-загадки» и др.</w:t>
      </w:r>
      <w:proofErr w:type="gramEnd"/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lastRenderedPageBreak/>
        <w:t xml:space="preserve"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070D5E">
        <w:rPr>
          <w:rStyle w:val="c0"/>
          <w:color w:val="000000"/>
          <w:sz w:val="28"/>
          <w:szCs w:val="28"/>
        </w:rPr>
        <w:t>ковролинограф</w:t>
      </w:r>
      <w:proofErr w:type="spellEnd"/>
      <w:r w:rsidRPr="00070D5E">
        <w:rPr>
          <w:rStyle w:val="c0"/>
          <w:color w:val="000000"/>
          <w:sz w:val="28"/>
          <w:szCs w:val="28"/>
        </w:rPr>
        <w:t xml:space="preserve"> или </w:t>
      </w:r>
      <w:proofErr w:type="spellStart"/>
      <w:r w:rsidRPr="00070D5E">
        <w:rPr>
          <w:rStyle w:val="c0"/>
          <w:color w:val="000000"/>
          <w:sz w:val="28"/>
          <w:szCs w:val="28"/>
        </w:rPr>
        <w:t>фланелеграф</w:t>
      </w:r>
      <w:proofErr w:type="spellEnd"/>
      <w:r w:rsidRPr="00070D5E">
        <w:rPr>
          <w:rStyle w:val="c0"/>
          <w:color w:val="000000"/>
          <w:sz w:val="28"/>
          <w:szCs w:val="28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070D5E" w:rsidRPr="00070D5E" w:rsidRDefault="00070D5E" w:rsidP="00070D5E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В дополнение к ним необходимо предусмотреть 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Рассказ с опорой на серию картин </w:t>
      </w:r>
      <w:r w:rsidRPr="00070D5E">
        <w:rPr>
          <w:rStyle w:val="c4"/>
          <w:i/>
          <w:iCs/>
          <w:color w:val="000000"/>
          <w:sz w:val="28"/>
          <w:szCs w:val="28"/>
        </w:rPr>
        <w:t>(2 - 3)</w:t>
      </w:r>
      <w:r w:rsidRPr="00070D5E">
        <w:rPr>
          <w:rStyle w:val="c0"/>
          <w:color w:val="000000"/>
          <w:sz w:val="28"/>
          <w:szCs w:val="28"/>
        </w:rPr>
        <w:t>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Рассказ по серии сюжетных картин </w:t>
      </w:r>
      <w:r w:rsidRPr="00070D5E">
        <w:rPr>
          <w:rStyle w:val="c4"/>
          <w:i/>
          <w:iCs/>
          <w:color w:val="000000"/>
          <w:sz w:val="28"/>
          <w:szCs w:val="28"/>
        </w:rPr>
        <w:t>(4)</w:t>
      </w:r>
      <w:r w:rsidRPr="00070D5E">
        <w:rPr>
          <w:rStyle w:val="c0"/>
          <w:color w:val="000000"/>
          <w:sz w:val="28"/>
          <w:szCs w:val="28"/>
        </w:rPr>
        <w:t>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Рассказ по сюжетной картине.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Классная подвижная азбука.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Азбука в картинках.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Дидактическая игра «Буква за буквой»,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Дидактическая игра «33 богатыря»,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Дидактическая игра «Умный телефон»,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Таблицы по обучению грамоте с рисунками.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Звуковые линейки.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Комплект наглядных пособий “Обучение грамоте” </w:t>
      </w:r>
      <w:r w:rsidRPr="00070D5E">
        <w:rPr>
          <w:rStyle w:val="c4"/>
          <w:i/>
          <w:iCs/>
          <w:color w:val="000000"/>
          <w:sz w:val="28"/>
          <w:szCs w:val="28"/>
        </w:rPr>
        <w:t>(автор Н. В. Дурова)</w:t>
      </w:r>
      <w:r w:rsidRPr="00070D5E">
        <w:rPr>
          <w:rStyle w:val="c0"/>
          <w:color w:val="000000"/>
          <w:sz w:val="28"/>
          <w:szCs w:val="28"/>
        </w:rPr>
        <w:t>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Дидактический материал “Ступеньки грамоты” </w:t>
      </w:r>
      <w:r w:rsidRPr="00070D5E">
        <w:rPr>
          <w:rStyle w:val="c4"/>
          <w:i/>
          <w:iCs/>
          <w:color w:val="000000"/>
          <w:sz w:val="28"/>
          <w:szCs w:val="28"/>
        </w:rPr>
        <w:t>(авторы Н. В. Дурова, Л. Н. Невская)</w:t>
      </w:r>
      <w:r w:rsidRPr="00070D5E">
        <w:rPr>
          <w:rStyle w:val="c0"/>
          <w:color w:val="000000"/>
          <w:sz w:val="28"/>
          <w:szCs w:val="28"/>
        </w:rPr>
        <w:t>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Наглядно-дидактическое пособие для детского сада “Звучащее слово” </w:t>
      </w:r>
      <w:r w:rsidRPr="00070D5E">
        <w:rPr>
          <w:rStyle w:val="c4"/>
          <w:i/>
          <w:iCs/>
          <w:color w:val="000000"/>
          <w:sz w:val="28"/>
          <w:szCs w:val="28"/>
        </w:rPr>
        <w:t xml:space="preserve">(автор Г. А. </w:t>
      </w:r>
      <w:proofErr w:type="spellStart"/>
      <w:r w:rsidRPr="00070D5E">
        <w:rPr>
          <w:rStyle w:val="c4"/>
          <w:i/>
          <w:iCs/>
          <w:color w:val="000000"/>
          <w:sz w:val="28"/>
          <w:szCs w:val="28"/>
        </w:rPr>
        <w:t>Тумакова</w:t>
      </w:r>
      <w:proofErr w:type="spellEnd"/>
      <w:proofErr w:type="gramStart"/>
      <w:r w:rsidRPr="00070D5E">
        <w:rPr>
          <w:rStyle w:val="c4"/>
          <w:i/>
          <w:iCs/>
          <w:color w:val="000000"/>
          <w:sz w:val="28"/>
          <w:szCs w:val="28"/>
        </w:rPr>
        <w:t>)</w:t>
      </w:r>
      <w:r w:rsidRPr="00070D5E">
        <w:rPr>
          <w:rStyle w:val="c0"/>
          <w:color w:val="000000"/>
          <w:sz w:val="28"/>
          <w:szCs w:val="28"/>
        </w:rPr>
        <w:t>и</w:t>
      </w:r>
      <w:proofErr w:type="gramEnd"/>
      <w:r w:rsidRPr="00070D5E">
        <w:rPr>
          <w:rStyle w:val="c0"/>
          <w:color w:val="000000"/>
          <w:sz w:val="28"/>
          <w:szCs w:val="28"/>
        </w:rPr>
        <w:t xml:space="preserve"> др.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Дидактический материал М. Монтессори, Н. Зайцева </w:t>
      </w:r>
      <w:r w:rsidRPr="00070D5E">
        <w:rPr>
          <w:rStyle w:val="c4"/>
          <w:i/>
          <w:iCs/>
          <w:color w:val="000000"/>
          <w:sz w:val="28"/>
          <w:szCs w:val="28"/>
        </w:rPr>
        <w:t>(кубики по обучению русскому и английскому языку)</w:t>
      </w:r>
      <w:r w:rsidRPr="00070D5E">
        <w:rPr>
          <w:rStyle w:val="c0"/>
          <w:color w:val="000000"/>
          <w:sz w:val="28"/>
          <w:szCs w:val="28"/>
        </w:rPr>
        <w:t xml:space="preserve">, Г. Л. </w:t>
      </w:r>
      <w:proofErr w:type="spellStart"/>
      <w:r w:rsidRPr="00070D5E">
        <w:rPr>
          <w:rStyle w:val="c0"/>
          <w:color w:val="000000"/>
          <w:sz w:val="28"/>
          <w:szCs w:val="28"/>
        </w:rPr>
        <w:t>Выгодской</w:t>
      </w:r>
      <w:proofErr w:type="spellEnd"/>
      <w:r w:rsidRPr="00070D5E">
        <w:rPr>
          <w:rStyle w:val="c0"/>
          <w:color w:val="000000"/>
          <w:sz w:val="28"/>
          <w:szCs w:val="28"/>
        </w:rPr>
        <w:t> </w:t>
      </w:r>
      <w:r w:rsidRPr="00070D5E">
        <w:rPr>
          <w:rStyle w:val="c4"/>
          <w:i/>
          <w:iCs/>
          <w:color w:val="000000"/>
          <w:sz w:val="28"/>
          <w:szCs w:val="28"/>
        </w:rPr>
        <w:t xml:space="preserve">(«Град </w:t>
      </w:r>
      <w:proofErr w:type="spellStart"/>
      <w:r w:rsidRPr="00070D5E">
        <w:rPr>
          <w:rStyle w:val="c4"/>
          <w:i/>
          <w:iCs/>
          <w:color w:val="000000"/>
          <w:sz w:val="28"/>
          <w:szCs w:val="28"/>
        </w:rPr>
        <w:t>Златоустия</w:t>
      </w:r>
      <w:proofErr w:type="spellEnd"/>
      <w:r w:rsidRPr="00070D5E">
        <w:rPr>
          <w:rStyle w:val="c4"/>
          <w:i/>
          <w:iCs/>
          <w:color w:val="000000"/>
          <w:sz w:val="28"/>
          <w:szCs w:val="28"/>
        </w:rPr>
        <w:t>»)</w:t>
      </w:r>
      <w:r w:rsidRPr="00070D5E">
        <w:rPr>
          <w:rStyle w:val="c0"/>
          <w:color w:val="000000"/>
          <w:sz w:val="28"/>
          <w:szCs w:val="28"/>
        </w:rPr>
        <w:t>,</w:t>
      </w:r>
    </w:p>
    <w:p w:rsidR="00070D5E" w:rsidRPr="00070D5E" w:rsidRDefault="00070D5E" w:rsidP="00070D5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0D5E">
        <w:rPr>
          <w:rStyle w:val="c0"/>
          <w:color w:val="000000"/>
          <w:sz w:val="28"/>
          <w:szCs w:val="28"/>
        </w:rPr>
        <w:t>Компьютерные программы по развитию речи и обучению грамоте детей дошкольного возраста и др.</w:t>
      </w:r>
    </w:p>
    <w:p w:rsidR="008C12EE" w:rsidRPr="00070D5E" w:rsidRDefault="008C12EE">
      <w:pPr>
        <w:rPr>
          <w:rFonts w:ascii="Times New Roman" w:hAnsi="Times New Roman" w:cs="Times New Roman"/>
          <w:sz w:val="28"/>
          <w:szCs w:val="28"/>
        </w:rPr>
      </w:pPr>
    </w:p>
    <w:sectPr w:rsidR="008C12EE" w:rsidRPr="00070D5E" w:rsidSect="00070D5E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0D5E"/>
    <w:rsid w:val="00070D5E"/>
    <w:rsid w:val="007419F1"/>
    <w:rsid w:val="008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07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70D5E"/>
  </w:style>
  <w:style w:type="paragraph" w:customStyle="1" w:styleId="c6">
    <w:name w:val="c6"/>
    <w:basedOn w:val="a"/>
    <w:rsid w:val="0007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0D5E"/>
  </w:style>
  <w:style w:type="paragraph" w:customStyle="1" w:styleId="c3">
    <w:name w:val="c3"/>
    <w:basedOn w:val="a"/>
    <w:rsid w:val="0007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70D5E"/>
  </w:style>
  <w:style w:type="character" w:customStyle="1" w:styleId="c4">
    <w:name w:val="c4"/>
    <w:basedOn w:val="a0"/>
    <w:rsid w:val="00070D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3</cp:revision>
  <dcterms:created xsi:type="dcterms:W3CDTF">2024-11-17T10:15:00Z</dcterms:created>
  <dcterms:modified xsi:type="dcterms:W3CDTF">2024-11-18T17:20:00Z</dcterms:modified>
</cp:coreProperties>
</file>